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99C0" w14:textId="77777777" w:rsidR="000E3D1D" w:rsidRDefault="000E3D1D" w:rsidP="000E3D1D">
      <w:bookmarkStart w:id="0" w:name="_GoBack"/>
      <w:bookmarkEnd w:id="0"/>
    </w:p>
    <w:p w14:paraId="37E62D79" w14:textId="77777777" w:rsidR="000E3D1D" w:rsidRPr="00132002" w:rsidRDefault="000E3D1D" w:rsidP="000E3D1D">
      <w:pPr>
        <w:rPr>
          <w:rFonts w:ascii="Georgia" w:hAnsi="Georgia"/>
        </w:rPr>
      </w:pPr>
    </w:p>
    <w:p w14:paraId="146B42D1" w14:textId="77777777" w:rsidR="000E3D1D" w:rsidRPr="00843E07" w:rsidRDefault="000E3D1D" w:rsidP="000E3D1D">
      <w:pPr>
        <w:jc w:val="right"/>
      </w:pPr>
      <w:r w:rsidRPr="00843E07">
        <w:t>Media Contacts:</w:t>
      </w:r>
    </w:p>
    <w:p w14:paraId="71EF06D1" w14:textId="77777777" w:rsidR="000E3D1D" w:rsidRPr="00843E07" w:rsidRDefault="000E3D1D" w:rsidP="000E3D1D">
      <w:pPr>
        <w:jc w:val="right"/>
      </w:pPr>
      <w:r w:rsidRPr="00843E07">
        <w:t xml:space="preserve">Nisha Brown </w:t>
      </w:r>
      <w:r w:rsidRPr="00843E07">
        <w:tab/>
        <w:t>404.652.5080</w:t>
      </w:r>
    </w:p>
    <w:p w14:paraId="79E57749" w14:textId="77777777" w:rsidR="000E3D1D" w:rsidRPr="00843E07" w:rsidRDefault="000E3D1D" w:rsidP="000E3D1D">
      <w:pPr>
        <w:jc w:val="right"/>
      </w:pPr>
      <w:r w:rsidRPr="00843E07">
        <w:t xml:space="preserve">Kim Drew </w:t>
      </w:r>
      <w:r w:rsidRPr="00843E07">
        <w:tab/>
      </w:r>
      <w:r>
        <w:t>404.790.6823</w:t>
      </w:r>
    </w:p>
    <w:p w14:paraId="731E12FE" w14:textId="77777777" w:rsidR="000E3D1D" w:rsidRPr="00843E07" w:rsidRDefault="000E3D1D" w:rsidP="000E3D1D">
      <w:pPr>
        <w:jc w:val="right"/>
      </w:pPr>
    </w:p>
    <w:p w14:paraId="63CB94A1" w14:textId="77777777" w:rsidR="000E3D1D" w:rsidRDefault="000E3D1D" w:rsidP="000E3D1D">
      <w:pPr>
        <w:jc w:val="right"/>
      </w:pPr>
      <w:r>
        <w:t>January 21, 2020</w:t>
      </w:r>
    </w:p>
    <w:p w14:paraId="1411D628" w14:textId="77777777" w:rsidR="000E3D1D" w:rsidRDefault="000E3D1D" w:rsidP="000E3D1D">
      <w:pPr>
        <w:jc w:val="right"/>
      </w:pPr>
    </w:p>
    <w:p w14:paraId="093C0131" w14:textId="408F819D" w:rsidR="000E3D1D" w:rsidRPr="00F75A0F" w:rsidRDefault="000E3D1D" w:rsidP="00F75A0F">
      <w:pPr>
        <w:spacing w:line="360" w:lineRule="auto"/>
        <w:jc w:val="center"/>
        <w:rPr>
          <w:b/>
          <w:bCs/>
          <w:sz w:val="28"/>
          <w:szCs w:val="28"/>
        </w:rPr>
      </w:pPr>
      <w:r w:rsidRPr="00F75A0F">
        <w:rPr>
          <w:b/>
          <w:bCs/>
          <w:sz w:val="28"/>
          <w:szCs w:val="28"/>
        </w:rPr>
        <w:t>DensDefy™ Liquid Flashing</w:t>
      </w:r>
    </w:p>
    <w:p w14:paraId="39C3BBF8" w14:textId="3D37E3F7" w:rsidR="000E3D1D" w:rsidRDefault="00F75A0F" w:rsidP="000E3D1D">
      <w:pPr>
        <w:spacing w:line="360" w:lineRule="auto"/>
      </w:pPr>
      <w:r>
        <w:t>DensDefy™ Liquid Flashing is a flexible, liquid flashing membrane</w:t>
      </w:r>
      <w:r w:rsidR="003659A7">
        <w:t xml:space="preserve"> made with STP Technology</w:t>
      </w:r>
      <w:r>
        <w:t xml:space="preserve"> that seals and protects against water intrusion between substrates</w:t>
      </w:r>
      <w:r w:rsidR="003659A7">
        <w:t xml:space="preserve"> which seals</w:t>
      </w:r>
      <w:r>
        <w:t xml:space="preserve"> rough openings, penetrations, joints,</w:t>
      </w:r>
      <w:r w:rsidR="003659A7">
        <w:t xml:space="preserve"> sheathing fasteners</w:t>
      </w:r>
      <w:r>
        <w:t xml:space="preserve"> and seams in new or existing wall </w:t>
      </w:r>
      <w:r w:rsidR="00C15EB6">
        <w:t>assemblies</w:t>
      </w:r>
      <w:r>
        <w:t xml:space="preserve">, and prevents unwanted air movement as part of the DensElement® Barrier System. The product creates an elastomeric flashing membrane which is highly durable and eliminates the need for joint reinforcing tape, reducing overall preparation time. </w:t>
      </w:r>
    </w:p>
    <w:p w14:paraId="5B2B6623" w14:textId="2AFA256E" w:rsidR="00F75A0F" w:rsidRDefault="00F75A0F" w:rsidP="000E3D1D">
      <w:pPr>
        <w:spacing w:line="360" w:lineRule="auto"/>
      </w:pPr>
    </w:p>
    <w:p w14:paraId="597AC932" w14:textId="49651AEA" w:rsidR="00F75A0F" w:rsidRDefault="00F75A0F" w:rsidP="000E3D1D">
      <w:pPr>
        <w:spacing w:line="360" w:lineRule="auto"/>
      </w:pPr>
      <w:r>
        <w:t xml:space="preserve">DensDefy™ Liquid Flashing advantages: </w:t>
      </w:r>
    </w:p>
    <w:p w14:paraId="78A0B6FD" w14:textId="14AAB524" w:rsidR="00F75A0F" w:rsidRDefault="00F75A0F" w:rsidP="00F75A0F">
      <w:pPr>
        <w:pStyle w:val="ListParagraph"/>
        <w:numPr>
          <w:ilvl w:val="0"/>
          <w:numId w:val="2"/>
        </w:numPr>
        <w:spacing w:line="360" w:lineRule="auto"/>
      </w:pPr>
      <w:r>
        <w:t xml:space="preserve">Fast cure/moist cure (better tack time); </w:t>
      </w:r>
    </w:p>
    <w:p w14:paraId="773BBF99" w14:textId="7C118A63" w:rsidR="00F75A0F" w:rsidRDefault="00F75A0F" w:rsidP="00F75A0F">
      <w:pPr>
        <w:pStyle w:val="ListParagraph"/>
        <w:numPr>
          <w:ilvl w:val="0"/>
          <w:numId w:val="2"/>
        </w:numPr>
        <w:spacing w:line="360" w:lineRule="auto"/>
      </w:pPr>
      <w:r>
        <w:t>Low-temperature application (better cold weather performance);</w:t>
      </w:r>
    </w:p>
    <w:p w14:paraId="0C1C8B0D" w14:textId="21029D79" w:rsidR="00F75A0F" w:rsidRDefault="00F75A0F" w:rsidP="00F75A0F">
      <w:pPr>
        <w:pStyle w:val="ListParagraph"/>
        <w:numPr>
          <w:ilvl w:val="0"/>
          <w:numId w:val="2"/>
        </w:numPr>
        <w:spacing w:line="360" w:lineRule="auto"/>
      </w:pPr>
      <w:r>
        <w:t xml:space="preserve">Acceptance of rain immediately after application; </w:t>
      </w:r>
    </w:p>
    <w:p w14:paraId="7C5FF49C" w14:textId="48A1FC7F" w:rsidR="00F75A0F" w:rsidRDefault="00F75A0F" w:rsidP="00F75A0F">
      <w:pPr>
        <w:pStyle w:val="ListParagraph"/>
        <w:numPr>
          <w:ilvl w:val="0"/>
          <w:numId w:val="2"/>
        </w:numPr>
        <w:spacing w:line="360" w:lineRule="auto"/>
      </w:pPr>
      <w:r>
        <w:t>12-month exposure</w:t>
      </w:r>
      <w:r w:rsidR="00500AAD">
        <w:t xml:space="preserve"> to normal weather conditions</w:t>
      </w:r>
      <w:r>
        <w:t>;</w:t>
      </w:r>
    </w:p>
    <w:p w14:paraId="7AE0125F" w14:textId="70ECBED4" w:rsidR="00F75A0F" w:rsidRDefault="00F75A0F" w:rsidP="00F75A0F">
      <w:pPr>
        <w:pStyle w:val="ListParagraph"/>
        <w:numPr>
          <w:ilvl w:val="0"/>
          <w:numId w:val="2"/>
        </w:numPr>
        <w:spacing w:line="360" w:lineRule="auto"/>
      </w:pPr>
      <w:r>
        <w:t xml:space="preserve">Easy bond to most substrates; and </w:t>
      </w:r>
    </w:p>
    <w:p w14:paraId="4561B903" w14:textId="5B51BC0C" w:rsidR="00F75A0F" w:rsidRDefault="00F75A0F" w:rsidP="00F75A0F">
      <w:pPr>
        <w:pStyle w:val="ListParagraph"/>
        <w:numPr>
          <w:ilvl w:val="0"/>
          <w:numId w:val="2"/>
        </w:numPr>
        <w:spacing w:line="360" w:lineRule="auto"/>
      </w:pPr>
      <w:r>
        <w:t>Easy installation.</w:t>
      </w:r>
    </w:p>
    <w:p w14:paraId="69A80647" w14:textId="35CE02B7" w:rsidR="00F75A0F" w:rsidRDefault="00F75A0F" w:rsidP="00F75A0F">
      <w:pPr>
        <w:spacing w:line="360" w:lineRule="auto"/>
      </w:pPr>
    </w:p>
    <w:p w14:paraId="3B4AF78E" w14:textId="231CE14F" w:rsidR="00F75A0F" w:rsidRDefault="00F75A0F" w:rsidP="00F75A0F">
      <w:pPr>
        <w:spacing w:line="360" w:lineRule="auto"/>
      </w:pPr>
      <w:r>
        <w:t xml:space="preserve">Where to use DensDefy™ Liquid Flashing: </w:t>
      </w:r>
    </w:p>
    <w:p w14:paraId="25FC5D48" w14:textId="7C93BE43" w:rsidR="00F75A0F" w:rsidRDefault="00F75A0F" w:rsidP="00F75A0F">
      <w:pPr>
        <w:pStyle w:val="ListParagraph"/>
        <w:numPr>
          <w:ilvl w:val="0"/>
          <w:numId w:val="2"/>
        </w:numPr>
        <w:spacing w:line="360" w:lineRule="auto"/>
      </w:pPr>
      <w:r>
        <w:t xml:space="preserve">On joints and seams; </w:t>
      </w:r>
    </w:p>
    <w:p w14:paraId="4AF6FC16" w14:textId="0111D5AB" w:rsidR="00F75A0F" w:rsidRDefault="00F75A0F" w:rsidP="00F75A0F">
      <w:pPr>
        <w:pStyle w:val="ListParagraph"/>
        <w:numPr>
          <w:ilvl w:val="0"/>
          <w:numId w:val="2"/>
        </w:numPr>
        <w:spacing w:line="360" w:lineRule="auto"/>
      </w:pPr>
      <w:r>
        <w:t xml:space="preserve">At transitions from sheathing to dissimilar materials; </w:t>
      </w:r>
    </w:p>
    <w:p w14:paraId="23FED180" w14:textId="16A596C7" w:rsidR="00F75A0F" w:rsidRDefault="00F75A0F" w:rsidP="00F75A0F">
      <w:pPr>
        <w:pStyle w:val="ListParagraph"/>
        <w:numPr>
          <w:ilvl w:val="0"/>
          <w:numId w:val="2"/>
        </w:numPr>
        <w:spacing w:line="360" w:lineRule="auto"/>
      </w:pPr>
      <w:r>
        <w:t xml:space="preserve">Rough openings; </w:t>
      </w:r>
    </w:p>
    <w:p w14:paraId="699616A6" w14:textId="26ABE5B8" w:rsidR="00F75A0F" w:rsidRDefault="00F75A0F" w:rsidP="00F75A0F">
      <w:pPr>
        <w:pStyle w:val="ListParagraph"/>
        <w:numPr>
          <w:ilvl w:val="0"/>
          <w:numId w:val="2"/>
        </w:numPr>
        <w:spacing w:line="360" w:lineRule="auto"/>
      </w:pPr>
      <w:r>
        <w:t xml:space="preserve">Penetrations; and </w:t>
      </w:r>
    </w:p>
    <w:p w14:paraId="2B9883FC" w14:textId="4CBFFDCD" w:rsidR="00F75A0F" w:rsidRDefault="00F75A0F" w:rsidP="00F75A0F">
      <w:pPr>
        <w:pStyle w:val="ListParagraph"/>
        <w:numPr>
          <w:ilvl w:val="0"/>
          <w:numId w:val="2"/>
        </w:numPr>
        <w:spacing w:line="360" w:lineRule="auto"/>
      </w:pPr>
      <w:r>
        <w:t xml:space="preserve">Counter-flash for other DensDefy™ WRB/AB components. </w:t>
      </w:r>
    </w:p>
    <w:p w14:paraId="71D3CAF2" w14:textId="77777777" w:rsidR="00F75A0F" w:rsidRDefault="00F75A0F" w:rsidP="000E3D1D">
      <w:pPr>
        <w:spacing w:line="360" w:lineRule="auto"/>
      </w:pPr>
    </w:p>
    <w:p w14:paraId="19EB4AC3" w14:textId="243156D2" w:rsidR="000E3D1D" w:rsidRDefault="00F75A0F" w:rsidP="000E3D1D">
      <w:pPr>
        <w:spacing w:line="360" w:lineRule="auto"/>
      </w:pPr>
      <w:r>
        <w:t xml:space="preserve">Composition: DensDefy™ Liquid Flashing is </w:t>
      </w:r>
      <w:r w:rsidR="000E3D1D">
        <w:t xml:space="preserve">formulated </w:t>
      </w:r>
      <w:r w:rsidR="003659A7">
        <w:t xml:space="preserve">with </w:t>
      </w:r>
      <w:r w:rsidR="000E3D1D">
        <w:t>STP chemistry</w:t>
      </w:r>
      <w:r>
        <w:t xml:space="preserve">. </w:t>
      </w:r>
    </w:p>
    <w:p w14:paraId="7EAEFF5C" w14:textId="225A4F5D" w:rsidR="000F5FB4" w:rsidRDefault="000F5FB4" w:rsidP="000E3D1D">
      <w:pPr>
        <w:spacing w:line="360" w:lineRule="auto"/>
      </w:pPr>
      <w:r>
        <w:t xml:space="preserve">Product Availability: DensDefy™ Liquid Flashing comes in 20-oz sausages; cases of 20 are available nationwide via distributor or direct. </w:t>
      </w:r>
    </w:p>
    <w:p w14:paraId="2440CC1F" w14:textId="77777777" w:rsidR="000F5FB4" w:rsidRDefault="000F5FB4" w:rsidP="000E3D1D">
      <w:pPr>
        <w:spacing w:line="360" w:lineRule="auto"/>
      </w:pPr>
    </w:p>
    <w:p w14:paraId="1A0141F6" w14:textId="251A25B0" w:rsidR="00F75A0F" w:rsidRDefault="00F75A0F" w:rsidP="000E3D1D">
      <w:pPr>
        <w:spacing w:line="360" w:lineRule="auto"/>
      </w:pPr>
      <w:r>
        <w:t xml:space="preserve">DensDefy™ Liquid Flashing is </w:t>
      </w:r>
      <w:r w:rsidR="00500AAD">
        <w:t>backed by a Georgia-Pacific limited warranty.</w:t>
      </w:r>
      <w:r>
        <w:t xml:space="preserve"> </w:t>
      </w:r>
    </w:p>
    <w:p w14:paraId="5834E8DE" w14:textId="77777777" w:rsidR="000F5FB4" w:rsidRDefault="000F5FB4" w:rsidP="000E3D1D">
      <w:pPr>
        <w:spacing w:line="360" w:lineRule="auto"/>
      </w:pPr>
    </w:p>
    <w:p w14:paraId="534E0320" w14:textId="41A453BC" w:rsidR="00C212BD" w:rsidRDefault="000F5FB4" w:rsidP="000F5FB4">
      <w:pPr>
        <w:jc w:val="center"/>
      </w:pPr>
      <w:r>
        <w:t># # #</w:t>
      </w:r>
    </w:p>
    <w:sectPr w:rsidR="00C2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3255"/>
    <w:multiLevelType w:val="hybridMultilevel"/>
    <w:tmpl w:val="6F1050C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02F8"/>
    <w:multiLevelType w:val="hybridMultilevel"/>
    <w:tmpl w:val="0270C378"/>
    <w:lvl w:ilvl="0" w:tplc="4B5EA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E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40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4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CD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6A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8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61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84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09"/>
    <w:rsid w:val="000E3D1D"/>
    <w:rsid w:val="000F5FB4"/>
    <w:rsid w:val="00235622"/>
    <w:rsid w:val="003659A7"/>
    <w:rsid w:val="004B35A2"/>
    <w:rsid w:val="00500AAD"/>
    <w:rsid w:val="00692E4B"/>
    <w:rsid w:val="006A5FBE"/>
    <w:rsid w:val="006B5307"/>
    <w:rsid w:val="00884D5C"/>
    <w:rsid w:val="008E71F4"/>
    <w:rsid w:val="00BF1878"/>
    <w:rsid w:val="00C15EB6"/>
    <w:rsid w:val="00C212BD"/>
    <w:rsid w:val="00CD7009"/>
    <w:rsid w:val="00F7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CDA8"/>
  <w15:chartTrackingRefBased/>
  <w15:docId w15:val="{D9AE55E5-00CE-4615-8DAF-6950EC8C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D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5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659A7"/>
    <w:pPr>
      <w:autoSpaceDE w:val="0"/>
      <w:autoSpaceDN w:val="0"/>
      <w:adjustRightInd w:val="0"/>
      <w:spacing w:after="0" w:line="240" w:lineRule="auto"/>
    </w:pPr>
    <w:rPr>
      <w:rFonts w:ascii="HelveticaNeue Condensed" w:hAnsi="HelveticaNeue Condensed" w:cs="HelveticaNeue Condensed"/>
      <w:color w:val="000000"/>
      <w:sz w:val="24"/>
      <w:szCs w:val="24"/>
    </w:rPr>
  </w:style>
  <w:style w:type="character" w:customStyle="1" w:styleId="A4">
    <w:name w:val="A4"/>
    <w:uiPriority w:val="99"/>
    <w:rsid w:val="003659A7"/>
    <w:rPr>
      <w:rFonts w:cs="HelveticaNeue Condensed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F4C017F329942A96F2D9773A3C2E9" ma:contentTypeVersion="13" ma:contentTypeDescription="Create a new document." ma:contentTypeScope="" ma:versionID="c94c80e71c5359f437cc83a57285a4cf">
  <xsd:schema xmlns:xsd="http://www.w3.org/2001/XMLSchema" xmlns:xs="http://www.w3.org/2001/XMLSchema" xmlns:p="http://schemas.microsoft.com/office/2006/metadata/properties" xmlns:ns3="c6cd1800-ef98-42dd-8fa9-57e47ad5eb26" xmlns:ns4="763a0ad4-38b2-42cc-ac92-cff3bce88d19" targetNamespace="http://schemas.microsoft.com/office/2006/metadata/properties" ma:root="true" ma:fieldsID="8bdc16f545311f29ca8d78449428cb27" ns3:_="" ns4:_="">
    <xsd:import namespace="c6cd1800-ef98-42dd-8fa9-57e47ad5eb26"/>
    <xsd:import namespace="763a0ad4-38b2-42cc-ac92-cff3bce88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800-ef98-42dd-8fa9-57e47ad5e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a0ad4-38b2-42cc-ac92-cff3bce88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000C5-209D-48BA-8E4C-7F8A6F159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37836-BC96-4772-90CA-27F1337EB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d1800-ef98-42dd-8fa9-57e47ad5eb26"/>
    <ds:schemaRef ds:uri="763a0ad4-38b2-42cc-ac92-cff3bce88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BAF96-0ACA-45B4-9245-08B06DDF48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Drew</dc:creator>
  <cp:keywords/>
  <dc:description/>
  <cp:lastModifiedBy>Hannah Haygood</cp:lastModifiedBy>
  <cp:revision>2</cp:revision>
  <dcterms:created xsi:type="dcterms:W3CDTF">2020-01-16T16:20:00Z</dcterms:created>
  <dcterms:modified xsi:type="dcterms:W3CDTF">2020-01-16T16:20:00Z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0x010100921F4C017F329942A96F2D9773A3C2E9</vt:lpwstr>
  </property>
</Properties>
</file>